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72F7C" w14:textId="77777777" w:rsidR="00B50727" w:rsidRPr="00B50727" w:rsidRDefault="00694D3B" w:rsidP="00B50727">
      <w:pPr>
        <w:pStyle w:val="Heading2"/>
      </w:pPr>
      <w:r w:rsidRPr="00694D3B">
        <w:t>PROCEDURE FOR MONITORING BORROW PIT DISCHARGE</w:t>
      </w:r>
      <w:r w:rsidR="00B50727" w:rsidRPr="00B50727">
        <w:t>:</w:t>
      </w:r>
    </w:p>
    <w:tbl>
      <w:tblPr>
        <w:tblW w:w="0" w:type="auto"/>
        <w:tblLayout w:type="fixed"/>
        <w:tblLook w:val="0000" w:firstRow="0" w:lastRow="0" w:firstColumn="0" w:lastColumn="0" w:noHBand="0" w:noVBand="0"/>
      </w:tblPr>
      <w:tblGrid>
        <w:gridCol w:w="3192"/>
        <w:gridCol w:w="3192"/>
        <w:gridCol w:w="3192"/>
      </w:tblGrid>
      <w:tr w:rsidR="00A2147E" w:rsidRPr="004F1661" w14:paraId="4D672F80" w14:textId="77777777" w:rsidTr="00A01B0F">
        <w:tc>
          <w:tcPr>
            <w:tcW w:w="3192" w:type="dxa"/>
          </w:tcPr>
          <w:p w14:paraId="4D672F7D" w14:textId="54E369ED" w:rsidR="00A2147E" w:rsidRPr="004F1661" w:rsidRDefault="00A2147E" w:rsidP="00645716">
            <w:pPr>
              <w:keepNext/>
              <w:keepLines/>
              <w:jc w:val="both"/>
              <w:rPr>
                <w:sz w:val="16"/>
              </w:rPr>
            </w:pPr>
            <w:r w:rsidRPr="004F1661">
              <w:rPr>
                <w:sz w:val="16"/>
              </w:rPr>
              <w:t>(</w:t>
            </w:r>
            <w:r w:rsidR="00694D3B">
              <w:rPr>
                <w:sz w:val="16"/>
              </w:rPr>
              <w:t>2</w:t>
            </w:r>
            <w:r w:rsidR="00D71E58" w:rsidRPr="0008583D">
              <w:rPr>
                <w:sz w:val="16"/>
              </w:rPr>
              <w:t>-</w:t>
            </w:r>
            <w:r w:rsidR="00694D3B">
              <w:rPr>
                <w:sz w:val="16"/>
              </w:rPr>
              <w:t>20</w:t>
            </w:r>
            <w:r w:rsidR="00D71E58" w:rsidRPr="0008583D">
              <w:rPr>
                <w:sz w:val="16"/>
              </w:rPr>
              <w:t>-07)</w:t>
            </w:r>
            <w:r w:rsidR="005C4D84">
              <w:rPr>
                <w:sz w:val="16"/>
              </w:rPr>
              <w:t xml:space="preserve"> (Rev</w:t>
            </w:r>
            <w:r w:rsidR="00AF39FC">
              <w:rPr>
                <w:sz w:val="16"/>
              </w:rPr>
              <w:t>.</w:t>
            </w:r>
            <w:r w:rsidR="005C4D84">
              <w:rPr>
                <w:sz w:val="16"/>
              </w:rPr>
              <w:t xml:space="preserve"> </w:t>
            </w:r>
            <w:r w:rsidR="00A22F8B">
              <w:rPr>
                <w:sz w:val="16"/>
              </w:rPr>
              <w:t>4-5-19</w:t>
            </w:r>
            <w:r w:rsidR="005C4D84">
              <w:rPr>
                <w:sz w:val="16"/>
              </w:rPr>
              <w:t>)</w:t>
            </w:r>
          </w:p>
        </w:tc>
        <w:tc>
          <w:tcPr>
            <w:tcW w:w="3192" w:type="dxa"/>
          </w:tcPr>
          <w:p w14:paraId="4D672F7E" w14:textId="77777777" w:rsidR="00A2147E" w:rsidRPr="004F1661" w:rsidRDefault="006816A4" w:rsidP="00694D3B">
            <w:pPr>
              <w:keepNext/>
              <w:keepLines/>
              <w:jc w:val="center"/>
              <w:rPr>
                <w:sz w:val="16"/>
              </w:rPr>
            </w:pPr>
            <w:r>
              <w:rPr>
                <w:sz w:val="16"/>
              </w:rPr>
              <w:t xml:space="preserve">105-16, </w:t>
            </w:r>
            <w:r w:rsidR="00D05D22">
              <w:rPr>
                <w:sz w:val="16"/>
              </w:rPr>
              <w:t>2</w:t>
            </w:r>
            <w:r w:rsidR="00694D3B">
              <w:rPr>
                <w:sz w:val="16"/>
              </w:rPr>
              <w:t>30, 801</w:t>
            </w:r>
          </w:p>
        </w:tc>
        <w:tc>
          <w:tcPr>
            <w:tcW w:w="3192" w:type="dxa"/>
          </w:tcPr>
          <w:p w14:paraId="4D672F7F" w14:textId="77777777" w:rsidR="00A2147E" w:rsidRPr="004F1661" w:rsidRDefault="00A2147E" w:rsidP="00694D3B">
            <w:pPr>
              <w:keepNext/>
              <w:keepLines/>
              <w:jc w:val="right"/>
              <w:rPr>
                <w:sz w:val="16"/>
              </w:rPr>
            </w:pPr>
            <w:r w:rsidRPr="004F1661">
              <w:rPr>
                <w:sz w:val="16"/>
              </w:rPr>
              <w:t xml:space="preserve">SP1 </w:t>
            </w:r>
            <w:r w:rsidR="00BF0E24" w:rsidRPr="00BF0E24">
              <w:rPr>
                <w:sz w:val="16"/>
              </w:rPr>
              <w:t>G</w:t>
            </w:r>
            <w:r w:rsidR="008979FF">
              <w:rPr>
                <w:sz w:val="16"/>
              </w:rPr>
              <w:t>1</w:t>
            </w:r>
            <w:r w:rsidR="00D71E58">
              <w:rPr>
                <w:sz w:val="16"/>
              </w:rPr>
              <w:t>8</w:t>
            </w:r>
            <w:r w:rsidR="00694D3B">
              <w:rPr>
                <w:sz w:val="16"/>
              </w:rPr>
              <w:t>1</w:t>
            </w:r>
          </w:p>
        </w:tc>
      </w:tr>
    </w:tbl>
    <w:p w14:paraId="4D672F81" w14:textId="77777777" w:rsidR="00A2147E" w:rsidRPr="004F1661" w:rsidRDefault="00A2147E" w:rsidP="00725205">
      <w:pPr>
        <w:keepNext/>
        <w:keepLines/>
        <w:jc w:val="both"/>
        <w:rPr>
          <w:sz w:val="16"/>
        </w:rPr>
      </w:pPr>
    </w:p>
    <w:p w14:paraId="4D672F82" w14:textId="77777777" w:rsidR="00694D3B" w:rsidRDefault="00694D3B" w:rsidP="00694D3B">
      <w:pPr>
        <w:jc w:val="both"/>
      </w:pPr>
      <w:r>
        <w:t>Water discharge from borrow pit sites shall not cause surface waters to exceed 50 NTUs (nephelometric turbidity unit) in streams not designated as trout waters and 10 NTUs in streams, lakes or reservoirs designated as trout waters.  For lakes and reservoirs not designated as trout waters, the turbidity shall not exceed 25 NTUs.  If the turbidity exceeds these levels due to natural background conditions, the existing turbidity level shall not be increased.</w:t>
      </w:r>
    </w:p>
    <w:p w14:paraId="4D672F83" w14:textId="77777777" w:rsidR="00694D3B" w:rsidRDefault="00694D3B" w:rsidP="00694D3B">
      <w:pPr>
        <w:jc w:val="both"/>
      </w:pPr>
    </w:p>
    <w:p w14:paraId="4D672F84" w14:textId="77777777" w:rsidR="00694D3B" w:rsidRDefault="00694D3B" w:rsidP="00694D3B">
      <w:pPr>
        <w:jc w:val="both"/>
      </w:pPr>
      <w:r>
        <w:t>If during any operating day, the downstream water quality exceeds the standard, the Contractor shall do all of the following:</w:t>
      </w:r>
    </w:p>
    <w:p w14:paraId="4D672F85" w14:textId="77777777" w:rsidR="00694D3B" w:rsidRDefault="00694D3B" w:rsidP="00694D3B">
      <w:pPr>
        <w:jc w:val="both"/>
      </w:pPr>
    </w:p>
    <w:p w14:paraId="4D672F86" w14:textId="77777777" w:rsidR="00694D3B" w:rsidRDefault="00694D3B" w:rsidP="00694D3B">
      <w:pPr>
        <w:ind w:left="720" w:hanging="720"/>
        <w:jc w:val="both"/>
      </w:pPr>
      <w:r>
        <w:t>(A)</w:t>
      </w:r>
      <w:r>
        <w:tab/>
        <w:t>Either cease discharge or modify the discharge volume or turbidity levels to bring the downstream turbidity levels into compliance, or</w:t>
      </w:r>
    </w:p>
    <w:p w14:paraId="4D672F87" w14:textId="77777777" w:rsidR="00694D3B" w:rsidRDefault="00694D3B" w:rsidP="00694D3B">
      <w:pPr>
        <w:jc w:val="both"/>
      </w:pPr>
    </w:p>
    <w:p w14:paraId="4D672F88" w14:textId="77777777" w:rsidR="00694D3B" w:rsidRDefault="00694D3B" w:rsidP="00694D3B">
      <w:pPr>
        <w:ind w:left="720" w:hanging="720"/>
        <w:jc w:val="both"/>
      </w:pPr>
      <w:r>
        <w:t>(B)</w:t>
      </w:r>
      <w:r>
        <w:tab/>
        <w:t>Evaluate the upstream conditions to determine if the exceedance of the standard is due to natural background conditions.  If the background turbidity measurements exceed the standard, operation of the pit and discharge can continue as long as the stream turbidity levels are not increased due to the discharge.</w:t>
      </w:r>
    </w:p>
    <w:p w14:paraId="4D672F89" w14:textId="77777777" w:rsidR="00694D3B" w:rsidRDefault="00694D3B" w:rsidP="00694D3B">
      <w:pPr>
        <w:jc w:val="both"/>
      </w:pPr>
    </w:p>
    <w:p w14:paraId="4D672F8A" w14:textId="77777777" w:rsidR="00694D3B" w:rsidRDefault="00694D3B" w:rsidP="00694D3B">
      <w:pPr>
        <w:ind w:left="720" w:hanging="720"/>
        <w:jc w:val="both"/>
      </w:pPr>
      <w:r>
        <w:t>(C)</w:t>
      </w:r>
      <w:r>
        <w:tab/>
        <w:t>Measure and record the turbidity test results (time, date and sampler) at all defined sampling locations 30 minutes after startup and at a minimum, one additional sampling of all sampling locations during that 24-hour period in which the borrow pit is discharging.</w:t>
      </w:r>
    </w:p>
    <w:p w14:paraId="4D672F8B" w14:textId="77777777" w:rsidR="00694D3B" w:rsidRDefault="00694D3B" w:rsidP="00694D3B">
      <w:pPr>
        <w:jc w:val="both"/>
      </w:pPr>
    </w:p>
    <w:p w14:paraId="4D672F8C" w14:textId="77777777" w:rsidR="00694D3B" w:rsidRDefault="00694D3B" w:rsidP="00694D3B">
      <w:pPr>
        <w:ind w:left="720" w:hanging="720"/>
        <w:jc w:val="both"/>
      </w:pPr>
      <w:r>
        <w:t>(D)</w:t>
      </w:r>
      <w:r>
        <w:tab/>
        <w:t>Notify DWQ within 24 hours of any stream turbidity standard exceedances that are not brought into compliance.</w:t>
      </w:r>
    </w:p>
    <w:p w14:paraId="4D672F8D" w14:textId="77777777" w:rsidR="00694D3B" w:rsidRDefault="00694D3B" w:rsidP="00694D3B">
      <w:pPr>
        <w:jc w:val="both"/>
      </w:pPr>
    </w:p>
    <w:p w14:paraId="4D672F8E" w14:textId="77777777" w:rsidR="00694D3B" w:rsidRDefault="00694D3B" w:rsidP="00694D3B">
      <w:pPr>
        <w:jc w:val="both"/>
      </w:pPr>
      <w:r>
        <w:t xml:space="preserve">During the Environmental Assessment required by Article 230-4 of the </w:t>
      </w:r>
      <w:r w:rsidR="00684769">
        <w:rPr>
          <w:i/>
        </w:rPr>
        <w:t>201</w:t>
      </w:r>
      <w:r w:rsidR="00571B33">
        <w:rPr>
          <w:i/>
        </w:rPr>
        <w:t>8</w:t>
      </w:r>
      <w:r w:rsidR="00684769">
        <w:t> </w:t>
      </w:r>
      <w:r>
        <w:rPr>
          <w:i/>
        </w:rPr>
        <w:t>Standard Specifications</w:t>
      </w:r>
      <w:r>
        <w:t>, the Contractor shall define the point at which the discharge enters into the State’s surface waters and the appropriate sampling locations.  Sampling locations shall include points upstream and downstream from the point at which the discharge enters these waters.  Upstream sampling location shall be located so that it is not influenced by backwater conditions and represents natural background conditions.  Downstream sampling location shall be located at the point where complete mixing of the discharge and receiving water has occurred.</w:t>
      </w:r>
    </w:p>
    <w:p w14:paraId="4D672F8F" w14:textId="77777777" w:rsidR="00694D3B" w:rsidRDefault="00694D3B" w:rsidP="00694D3B">
      <w:pPr>
        <w:jc w:val="both"/>
      </w:pPr>
    </w:p>
    <w:p w14:paraId="4D672F90" w14:textId="77777777" w:rsidR="00694D3B" w:rsidRDefault="00694D3B" w:rsidP="00694D3B">
      <w:pPr>
        <w:jc w:val="both"/>
      </w:pPr>
      <w:r>
        <w:t>The discharge shall be closely monitored when water from the dewatering activities is introduced into jurisdictional wetlands.  Any time visible sedimentation (deposition of sediment) on the wetland surface is observed, the dewatering activity will be suspended until turbidity levels in the stilling basin can be reduced to a level where sediment deposition does not occur.  Staining of wetland surfaces from suspended clay particles, occurring after evaporation or infiltration, does not constitute sedimentation.  No activities shall occur in wetlands that adversely affect the functioning of a wetland.  Visible sedimentation will be considered an indication of possible adverse impacts on wetland use.</w:t>
      </w:r>
    </w:p>
    <w:p w14:paraId="4D672F91" w14:textId="77777777" w:rsidR="00694D3B" w:rsidRDefault="00694D3B" w:rsidP="00694D3B">
      <w:pPr>
        <w:jc w:val="both"/>
      </w:pPr>
    </w:p>
    <w:p w14:paraId="4D672F92" w14:textId="77777777" w:rsidR="00694D3B" w:rsidRDefault="00694D3B" w:rsidP="00694D3B">
      <w:pPr>
        <w:jc w:val="both"/>
      </w:pPr>
      <w:r>
        <w:t xml:space="preserve">The Engineer will perform independent turbidity tests on a random basis.  These results will be maintained in a log within the project records.  Records will include, at a minimum, turbidity test results, time, date and name of sampler.  Should the Department’s test results exceed those of the </w:t>
      </w:r>
      <w:r>
        <w:lastRenderedPageBreak/>
        <w:t>Contractor’s test results, an immediate test shall be performed jointly with the results superseding the previous test results of both the</w:t>
      </w:r>
      <w:r w:rsidR="00247368">
        <w:t xml:space="preserve"> Department and the Contractor.</w:t>
      </w:r>
    </w:p>
    <w:p w14:paraId="4D672F93" w14:textId="77777777" w:rsidR="00694D3B" w:rsidRDefault="00694D3B" w:rsidP="00694D3B">
      <w:pPr>
        <w:jc w:val="both"/>
      </w:pPr>
    </w:p>
    <w:p w14:paraId="4D672F94" w14:textId="08A65E34" w:rsidR="00694D3B" w:rsidRDefault="00694D3B" w:rsidP="00AF39FC">
      <w:pPr>
        <w:jc w:val="both"/>
      </w:pPr>
      <w:r>
        <w:t xml:space="preserve">The Contractor shall use the </w:t>
      </w:r>
      <w:r>
        <w:rPr>
          <w:i/>
        </w:rPr>
        <w:t xml:space="preserve">NCDOT Turbidity Reduction Options for Borrow Pits Matrix, </w:t>
      </w:r>
      <w:r>
        <w:t xml:space="preserve">available at </w:t>
      </w:r>
      <w:bookmarkStart w:id="0" w:name="_Hlt154981026"/>
      <w:bookmarkStart w:id="1" w:name="_GoBack"/>
      <w:bookmarkEnd w:id="1"/>
      <w:r w:rsidR="009C3D07">
        <w:fldChar w:fldCharType="begin"/>
      </w:r>
      <w:r w:rsidR="009C3D07">
        <w:instrText xml:space="preserve"> HYPERLINK "</w:instrText>
      </w:r>
      <w:r w:rsidR="009C3D07" w:rsidRPr="009C3D07">
        <w:instrText>https://connect.ncdot.gov/resources/roadside/FieldOperationsDocuments/</w:instrText>
      </w:r>
      <w:r w:rsidR="009C3D07" w:rsidRPr="009C3D07">
        <w:br/>
        <w:instrText>TurbidityReductionOptionSheet.pdf</w:instrText>
      </w:r>
      <w:r w:rsidR="009C3D07">
        <w:instrText xml:space="preserve">" </w:instrText>
      </w:r>
      <w:r w:rsidR="009C3D07">
        <w:fldChar w:fldCharType="separate"/>
      </w:r>
      <w:r w:rsidR="009C3D07" w:rsidRPr="000B3792">
        <w:rPr>
          <w:rStyle w:val="Hyperlink"/>
        </w:rPr>
        <w:t>https://connect.ncdot.gov/resources/roadside/FieldOperationsDocuments/</w:t>
      </w:r>
      <w:r w:rsidR="009C3D07" w:rsidRPr="000B3792">
        <w:rPr>
          <w:rStyle w:val="Hyperlink"/>
        </w:rPr>
        <w:br/>
        <w:t>TurbidityReductionOptio</w:t>
      </w:r>
      <w:r w:rsidR="009C3D07" w:rsidRPr="000B3792">
        <w:rPr>
          <w:rStyle w:val="Hyperlink"/>
        </w:rPr>
        <w:t>n</w:t>
      </w:r>
      <w:r w:rsidR="009C3D07" w:rsidRPr="000B3792">
        <w:rPr>
          <w:rStyle w:val="Hyperlink"/>
        </w:rPr>
        <w:t>S</w:t>
      </w:r>
      <w:r w:rsidR="009C3D07" w:rsidRPr="000B3792">
        <w:rPr>
          <w:rStyle w:val="Hyperlink"/>
        </w:rPr>
        <w:t>heet.pdf</w:t>
      </w:r>
      <w:r w:rsidR="009C3D07">
        <w:fldChar w:fldCharType="end"/>
      </w:r>
      <w:r w:rsidR="00AF39FC">
        <w:t xml:space="preserve"> </w:t>
      </w:r>
      <w:bookmarkEnd w:id="0"/>
      <w:r>
        <w:t xml:space="preserve">to plan, design, construct, and maintain BMPs to address water quality standards.  Tier I Methods include stilling basins which are standard compensatory BMPs.  Other Tier I methods are </w:t>
      </w:r>
      <w:proofErr w:type="spellStart"/>
      <w:r>
        <w:t>noncompensatory</w:t>
      </w:r>
      <w:proofErr w:type="spellEnd"/>
      <w:r>
        <w:t xml:space="preserve"> and shall be used when needed to meet the stream turbidity standards.  Tier II Methods are also </w:t>
      </w:r>
      <w:proofErr w:type="spellStart"/>
      <w:r>
        <w:t>noncompensatory</w:t>
      </w:r>
      <w:proofErr w:type="spellEnd"/>
      <w:r>
        <w:t xml:space="preserve"> and are options that may be needed for protection of rare or unique resources or where special environmental conditions exist at the site which have led to additional requirements being placed in the DWQ’s 401 Certifications and approval letters, Isolated Wetland Permits, Riparian Buffer Authorization or a DOT Reclamation Plan’s Environmental Assessment for the specific site.  Should the Contractor exhaust all Tier I Methods on a site exclusive of rare or unique resources or special environmental conditions, Tier II Methods may be required by regulators on a case by case basis per supplemental agreement.</w:t>
      </w:r>
    </w:p>
    <w:p w14:paraId="4D672F95" w14:textId="77777777" w:rsidR="00694D3B" w:rsidRDefault="00694D3B" w:rsidP="00694D3B">
      <w:pPr>
        <w:jc w:val="both"/>
      </w:pPr>
    </w:p>
    <w:p w14:paraId="4D672F96" w14:textId="77777777" w:rsidR="00694D3B" w:rsidRDefault="00694D3B" w:rsidP="00694D3B">
      <w:pPr>
        <w:jc w:val="both"/>
      </w:pPr>
      <w:r>
        <w:t>The Contractor may use cation exchange capacity (CEC) values from proposed site borings to plan and develop the bid for the project.  CEC values exceeding 15 milliequivalents per 100 grams of soil may indicate a high potential for turbidity and should be avoided when dewatering into surface water is proposed.</w:t>
      </w:r>
    </w:p>
    <w:p w14:paraId="4D672F97" w14:textId="77777777" w:rsidR="00694D3B" w:rsidRDefault="00694D3B" w:rsidP="00694D3B">
      <w:pPr>
        <w:jc w:val="both"/>
      </w:pPr>
    </w:p>
    <w:p w14:paraId="4D672F98" w14:textId="77777777" w:rsidR="00694D3B" w:rsidRDefault="00694D3B" w:rsidP="00694D3B">
      <w:pPr>
        <w:jc w:val="both"/>
      </w:pPr>
      <w:r>
        <w:t>No additional compensation for monitoring borrow pit discharge will be paid.</w:t>
      </w:r>
    </w:p>
    <w:p w14:paraId="6268354E" w14:textId="77777777" w:rsidR="00413E02" w:rsidRDefault="00413E02" w:rsidP="00413E02">
      <w:pPr>
        <w:jc w:val="both"/>
      </w:pPr>
      <w:bookmarkStart w:id="2" w:name="_Hlk5351533"/>
    </w:p>
    <w:bookmarkEnd w:id="2"/>
    <w:p w14:paraId="4D672F99" w14:textId="77777777" w:rsidR="00694D3B" w:rsidRDefault="00694D3B" w:rsidP="00694D3B">
      <w:pPr>
        <w:jc w:val="both"/>
      </w:pPr>
    </w:p>
    <w:sectPr w:rsidR="00694D3B">
      <w:head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C09B7" w14:textId="77777777" w:rsidR="00C01A06" w:rsidRDefault="00C01A06">
      <w:r>
        <w:separator/>
      </w:r>
    </w:p>
  </w:endnote>
  <w:endnote w:type="continuationSeparator" w:id="0">
    <w:p w14:paraId="775068BD" w14:textId="77777777" w:rsidR="00C01A06" w:rsidRDefault="00C0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4777C" w14:textId="77777777" w:rsidR="00C01A06" w:rsidRDefault="00C01A06">
      <w:r>
        <w:separator/>
      </w:r>
    </w:p>
  </w:footnote>
  <w:footnote w:type="continuationSeparator" w:id="0">
    <w:p w14:paraId="73199F8C" w14:textId="77777777" w:rsidR="00C01A06" w:rsidRDefault="00C0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72F9E" w14:textId="77777777" w:rsidR="0054253A" w:rsidRPr="00AF68C4" w:rsidRDefault="0054253A">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840C7"/>
    <w:rsid w:val="000922FE"/>
    <w:rsid w:val="000C19C3"/>
    <w:rsid w:val="000D5BB6"/>
    <w:rsid w:val="000D6E26"/>
    <w:rsid w:val="000E771C"/>
    <w:rsid w:val="000F250C"/>
    <w:rsid w:val="0017336F"/>
    <w:rsid w:val="001A2499"/>
    <w:rsid w:val="002007B9"/>
    <w:rsid w:val="00247368"/>
    <w:rsid w:val="002A7E47"/>
    <w:rsid w:val="002B124D"/>
    <w:rsid w:val="002B2242"/>
    <w:rsid w:val="002E1241"/>
    <w:rsid w:val="00302790"/>
    <w:rsid w:val="00310AE3"/>
    <w:rsid w:val="003444E6"/>
    <w:rsid w:val="003F2A56"/>
    <w:rsid w:val="00403B90"/>
    <w:rsid w:val="00410832"/>
    <w:rsid w:val="00413E02"/>
    <w:rsid w:val="00457B45"/>
    <w:rsid w:val="004772FD"/>
    <w:rsid w:val="00483823"/>
    <w:rsid w:val="004D3333"/>
    <w:rsid w:val="004E2976"/>
    <w:rsid w:val="004E5411"/>
    <w:rsid w:val="004F1661"/>
    <w:rsid w:val="0054253A"/>
    <w:rsid w:val="005532C7"/>
    <w:rsid w:val="005610F8"/>
    <w:rsid w:val="00571B33"/>
    <w:rsid w:val="00572080"/>
    <w:rsid w:val="005B6318"/>
    <w:rsid w:val="005C4D84"/>
    <w:rsid w:val="005C5001"/>
    <w:rsid w:val="0062752D"/>
    <w:rsid w:val="00645716"/>
    <w:rsid w:val="006816A4"/>
    <w:rsid w:val="0068422D"/>
    <w:rsid w:val="00684769"/>
    <w:rsid w:val="006917BD"/>
    <w:rsid w:val="00694D3B"/>
    <w:rsid w:val="007203B2"/>
    <w:rsid w:val="00725205"/>
    <w:rsid w:val="00785F28"/>
    <w:rsid w:val="00786873"/>
    <w:rsid w:val="007A701A"/>
    <w:rsid w:val="007B17AF"/>
    <w:rsid w:val="008104E8"/>
    <w:rsid w:val="008107F5"/>
    <w:rsid w:val="008407FA"/>
    <w:rsid w:val="00844106"/>
    <w:rsid w:val="00855E65"/>
    <w:rsid w:val="008562A0"/>
    <w:rsid w:val="0089280D"/>
    <w:rsid w:val="008979FF"/>
    <w:rsid w:val="00983E9B"/>
    <w:rsid w:val="0098716C"/>
    <w:rsid w:val="009C3D07"/>
    <w:rsid w:val="00A01B0F"/>
    <w:rsid w:val="00A01E45"/>
    <w:rsid w:val="00A17249"/>
    <w:rsid w:val="00A2147E"/>
    <w:rsid w:val="00A22F8B"/>
    <w:rsid w:val="00A37916"/>
    <w:rsid w:val="00A72665"/>
    <w:rsid w:val="00AC6F15"/>
    <w:rsid w:val="00AF39FC"/>
    <w:rsid w:val="00AF68C4"/>
    <w:rsid w:val="00B50727"/>
    <w:rsid w:val="00BD6E2C"/>
    <w:rsid w:val="00BF0E24"/>
    <w:rsid w:val="00C01A06"/>
    <w:rsid w:val="00C34422"/>
    <w:rsid w:val="00C714D5"/>
    <w:rsid w:val="00C856BA"/>
    <w:rsid w:val="00C9654B"/>
    <w:rsid w:val="00CB4126"/>
    <w:rsid w:val="00CE3C99"/>
    <w:rsid w:val="00D05D22"/>
    <w:rsid w:val="00D14AAC"/>
    <w:rsid w:val="00D601D5"/>
    <w:rsid w:val="00D71E58"/>
    <w:rsid w:val="00E81B11"/>
    <w:rsid w:val="00E86EE2"/>
    <w:rsid w:val="00EC00E6"/>
    <w:rsid w:val="00EE625F"/>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2F7C"/>
  <w15:docId w15:val="{E5123092-EB49-4D29-B24C-2FD80850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AF39FC"/>
    <w:rPr>
      <w:rFonts w:ascii="Tahoma" w:hAnsi="Tahoma" w:cs="Tahoma"/>
      <w:sz w:val="16"/>
      <w:szCs w:val="16"/>
    </w:rPr>
  </w:style>
  <w:style w:type="character" w:customStyle="1" w:styleId="BalloonTextChar">
    <w:name w:val="Balloon Text Char"/>
    <w:basedOn w:val="DefaultParagraphFont"/>
    <w:link w:val="BalloonText"/>
    <w:rsid w:val="00AF39FC"/>
    <w:rPr>
      <w:rFonts w:ascii="Tahoma" w:hAnsi="Tahoma" w:cs="Tahoma"/>
      <w:sz w:val="16"/>
      <w:szCs w:val="16"/>
    </w:rPr>
  </w:style>
  <w:style w:type="character" w:styleId="UnresolvedMention">
    <w:name w:val="Unresolved Mention"/>
    <w:basedOn w:val="DefaultParagraphFont"/>
    <w:uiPriority w:val="99"/>
    <w:semiHidden/>
    <w:unhideWhenUsed/>
    <w:rsid w:val="00413E02"/>
    <w:rPr>
      <w:color w:val="605E5C"/>
      <w:shd w:val="clear" w:color="auto" w:fill="E1DFDD"/>
    </w:rPr>
  </w:style>
  <w:style w:type="character" w:styleId="FollowedHyperlink">
    <w:name w:val="FollowedHyperlink"/>
    <w:basedOn w:val="DefaultParagraphFont"/>
    <w:semiHidden/>
    <w:unhideWhenUsed/>
    <w:rsid w:val="00413E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919389">
      <w:bodyDiv w:val="1"/>
      <w:marLeft w:val="0"/>
      <w:marRight w:val="0"/>
      <w:marTop w:val="0"/>
      <w:marBottom w:val="0"/>
      <w:divBdr>
        <w:top w:val="none" w:sz="0" w:space="0" w:color="auto"/>
        <w:left w:val="none" w:sz="0" w:space="0" w:color="auto"/>
        <w:bottom w:val="none" w:sz="0" w:space="0" w:color="auto"/>
        <w:right w:val="none" w:sz="0" w:space="0" w:color="auto"/>
      </w:divBdr>
    </w:div>
    <w:div w:id="1708992176">
      <w:bodyDiv w:val="1"/>
      <w:marLeft w:val="0"/>
      <w:marRight w:val="0"/>
      <w:marTop w:val="0"/>
      <w:marBottom w:val="0"/>
      <w:divBdr>
        <w:top w:val="none" w:sz="0" w:space="0" w:color="auto"/>
        <w:left w:val="none" w:sz="0" w:space="0" w:color="auto"/>
        <w:bottom w:val="none" w:sz="0" w:space="0" w:color="auto"/>
        <w:right w:val="none" w:sz="0" w:space="0" w:color="auto"/>
      </w:divBdr>
    </w:div>
    <w:div w:id="186308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2019-04</Let_x0020_Date>
    <Provision xmlns="1db4f43e-251b-4c91-b1c3-46929b1fad45">PROCEDURE FOR MONITORING BORROW PIT DISCHARGE</Provision>
    <File_x0020_Category xmlns="1db4f43e-251b-4c91-b1c3-46929b1fad45"/>
    <Provision_x0020_Number xmlns="1db4f43e-251b-4c91-b1c3-46929b1fad45">SP01 G181</Provision_x0020_Number>
    <Geotech_x0020_Reference xmlns="1db4f43e-251b-4c91-b1c3-46929b1fad45">false</Geotech_x0020_Reference>
    <_dlc_DocId xmlns="16f00c2e-ac5c-418b-9f13-a0771dbd417d">CONNECT-1368027980-148</_dlc_DocId>
    <_dlc_DocIdUrl xmlns="16f00c2e-ac5c-418b-9f13-a0771dbd417d">
      <Url>https://connect.ncdot.gov/resources/Specifications/_layouts/15/DocIdRedir.aspx?ID=CONNECT-1368027980-148</Url>
      <Description>CONNECT-1368027980-148</Description>
    </_dlc_DocIdUrl>
    <URL xmlns="http://schemas.microsoft.com/sharepoint/v3">
      <Url xsi:nil="true"/>
      <Description xsi:nil="true"/>
    </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3937DB7-FBB2-4615-A697-C30D22596C3B}"/>
</file>

<file path=customXml/itemProps2.xml><?xml version="1.0" encoding="utf-8"?>
<ds:datastoreItem xmlns:ds="http://schemas.openxmlformats.org/officeDocument/2006/customXml" ds:itemID="{A68D8645-AC73-43C8-8745-F2962F984526}"/>
</file>

<file path=customXml/itemProps3.xml><?xml version="1.0" encoding="utf-8"?>
<ds:datastoreItem xmlns:ds="http://schemas.openxmlformats.org/officeDocument/2006/customXml" ds:itemID="{44DB7058-23FB-4E40-B466-237B3061275D}"/>
</file>

<file path=customXml/itemProps4.xml><?xml version="1.0" encoding="utf-8"?>
<ds:datastoreItem xmlns:ds="http://schemas.openxmlformats.org/officeDocument/2006/customXml" ds:itemID="{2C29DF5C-FD67-4B80-A41D-6199EA5D0779}"/>
</file>

<file path=customXml/itemProps5.xml><?xml version="1.0" encoding="utf-8"?>
<ds:datastoreItem xmlns:ds="http://schemas.openxmlformats.org/officeDocument/2006/customXml" ds:itemID="{F4DCF5B8-4458-49ED-8C30-3B66D606B488}"/>
</file>

<file path=docProps/app.xml><?xml version="1.0" encoding="utf-8"?>
<Properties xmlns="http://schemas.openxmlformats.org/officeDocument/2006/extended-properties" xmlns:vt="http://schemas.openxmlformats.org/officeDocument/2006/docPropsVTypes">
  <Template>Normal.dotm</Template>
  <TotalTime>58</TotalTime>
  <Pages>1</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Jeremy Goodwin</cp:lastModifiedBy>
  <cp:revision>6</cp:revision>
  <dcterms:created xsi:type="dcterms:W3CDTF">2019-04-05T15:01:00Z</dcterms:created>
  <dcterms:modified xsi:type="dcterms:W3CDTF">2019-04-05T15:59:00Z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59510ad5-d455-4bb5-b3c3-1a678e795b32</vt:lpwstr>
  </property>
  <property fmtid="{D5CDD505-2E9C-101B-9397-08002B2CF9AE}" pid="4" name="Order">
    <vt:r8>14800</vt:r8>
  </property>
</Properties>
</file>